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</w:rPr>
        <w:t>附件</w:t>
      </w:r>
      <w:r>
        <w:rPr>
          <w:rFonts w:hint="eastAsia" w:ascii="仿宋" w:hAnsi="仿宋" w:eastAsia="仿宋"/>
          <w:sz w:val="28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  <w:lang w:val="en-US" w:eastAsia="zh-CN"/>
        </w:rPr>
        <w:t>南京财经大学红山学院</w:t>
      </w:r>
      <w:r>
        <w:rPr>
          <w:rFonts w:hint="eastAsia" w:ascii="仿宋" w:hAnsi="仿宋" w:eastAsia="仿宋"/>
          <w:b/>
          <w:sz w:val="28"/>
        </w:rPr>
        <w:t>团支部组织生活会开展情况汇总表</w:t>
      </w:r>
    </w:p>
    <w:p>
      <w:pPr>
        <w:jc w:val="center"/>
        <w:rPr>
          <w:rFonts w:hint="eastAsia" w:ascii="仿宋" w:hAnsi="仿宋" w:eastAsia="仿宋"/>
          <w:b/>
          <w:sz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601"/>
        <w:gridCol w:w="2226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学院</w:t>
            </w:r>
            <w:r>
              <w:rPr>
                <w:rFonts w:hint="eastAsia" w:ascii="仿宋" w:hAnsi="仿宋" w:eastAsia="仿宋"/>
                <w:sz w:val="28"/>
              </w:rPr>
              <w:t>团委（团总支）</w:t>
            </w:r>
          </w:p>
        </w:tc>
        <w:tc>
          <w:tcPr>
            <w:tcW w:w="5749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vMerge w:val="restart"/>
          </w:tcPr>
          <w:p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团支部总数</w:t>
            </w:r>
          </w:p>
        </w:tc>
        <w:tc>
          <w:tcPr>
            <w:tcW w:w="1601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226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已开展组织生活会支部量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vMerge w:val="continue"/>
          </w:tcPr>
          <w:p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60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226" w:type="dxa"/>
          </w:tcPr>
          <w:p>
            <w:pPr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已完成团员先进性评价支部数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vMerge w:val="continue"/>
          </w:tcPr>
          <w:p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60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226" w:type="dxa"/>
          </w:tcPr>
          <w:p>
            <w:pPr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已完成团员教育评议支部数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