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2024</w:t>
      </w:r>
      <w:r>
        <w:rPr>
          <w:rFonts w:hint="eastAsia" w:ascii="方正小标宋简体" w:hAnsi="黑体" w:eastAsia="方正小标宋简体"/>
          <w:sz w:val="36"/>
          <w:szCs w:val="36"/>
        </w:rPr>
        <w:t>年度全国教育科学规划</w:t>
      </w: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专项选题</w:t>
      </w:r>
      <w:r>
        <w:rPr>
          <w:rFonts w:hint="eastAsia" w:ascii="方正小标宋简体" w:hAnsi="黑体" w:eastAsia="方正小标宋简体"/>
          <w:sz w:val="36"/>
          <w:szCs w:val="36"/>
        </w:rPr>
        <w:t>指南</w:t>
      </w:r>
    </w:p>
    <w:p/>
    <w:p>
      <w:pPr>
        <w:spacing w:before="156" w:beforeLines="50" w:after="156" w:afterLines="50" w:line="600" w:lineRule="exact"/>
        <w:ind w:firstLine="640" w:firstLineChars="200"/>
        <w:jc w:val="both"/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申报</w:t>
      </w:r>
      <w:r>
        <w:rPr>
          <w:rFonts w:hint="eastAsia" w:ascii="仿宋_GB2312" w:hAnsi="Times New Roman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高校毕业生就业研究专项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，可以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从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指南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中选</w:t>
      </w:r>
      <w:r>
        <w:rPr>
          <w:rFonts w:hint="eastAsia" w:ascii="仿宋_GB2312" w:hAnsi="Times New Roman" w:eastAsia="仿宋_GB2312"/>
          <w:color w:val="auto"/>
          <w:sz w:val="32"/>
          <w:szCs w:val="32"/>
          <w:lang w:val="en-US" w:eastAsia="zh-CN"/>
        </w:rPr>
        <w:t>题，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如</w:t>
      </w:r>
      <w:r>
        <w:rPr>
          <w:rFonts w:hint="eastAsia" w:ascii="仿宋_GB2312" w:hAnsi="Times New Roman" w:eastAsia="仿宋_GB2312"/>
          <w:color w:val="auto"/>
          <w:sz w:val="32"/>
          <w:szCs w:val="32"/>
          <w:lang w:val="en-US" w:eastAsia="zh-CN"/>
        </w:rPr>
        <w:t>确有需要，可对选题进行适当微调，但不得大幅压缩或改变研究内容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也可以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自拟选题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，但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必须与专项研究领域密切相关。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申报</w:t>
      </w:r>
      <w:r>
        <w:rPr>
          <w:rFonts w:hint="eastAsia" w:ascii="仿宋_GB2312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教育考试研究专项</w:t>
      </w:r>
      <w:r>
        <w:rPr>
          <w:rFonts w:hint="eastAsia" w:ascii="仿宋_GB2312" w:eastAsia="仿宋_GB2312" w:cs="Times New Roman"/>
          <w:b/>
          <w:bCs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须从指南中选题，重点项目的相应条目有括号标注，自拟选题不予受理。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专项每个选题原则上只确立1个立项项目。</w:t>
      </w:r>
    </w:p>
    <w:p>
      <w:pPr>
        <w:spacing w:before="156" w:beforeLines="50" w:after="156" w:afterLines="50" w:line="600" w:lineRule="exact"/>
        <w:jc w:val="both"/>
        <w:rPr>
          <w:rFonts w:hint="eastAsia" w:ascii="仿宋_GB2312" w:hAnsi="Times New Roman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>
      <w:pPr>
        <w:spacing w:before="156" w:beforeLines="50" w:after="156" w:afterLines="50" w:line="600" w:lineRule="exact"/>
        <w:jc w:val="both"/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高校毕业生就业研究专项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ind w:left="845" w:leftChars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重点产业人才供需状况研究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ind w:left="845" w:leftChars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以就业和社会需求为导向的学科专业结构设置调整</w:t>
      </w:r>
      <w:r>
        <w:rPr>
          <w:rFonts w:hint="eastAsia" w:ascii="仿宋_GB2312" w:eastAsia="仿宋_GB2312"/>
          <w:sz w:val="32"/>
          <w:szCs w:val="32"/>
          <w:lang w:eastAsia="zh-CN"/>
        </w:rPr>
        <w:t>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ind w:left="845" w:leftChars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产业结构与学科专业结构适配研究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ind w:left="845" w:leftChars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就业创业政策研究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ind w:left="845" w:leftChars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就业育人引导中国特色生涯教育理论体系构建研究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ind w:left="845" w:leftChars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就业能力标准体系研究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ind w:left="845" w:leftChars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就业状况跟踪调查研究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ind w:left="845" w:leftChars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就业质量综合评价研究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ind w:left="845" w:leftChars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就业监测反馈研究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ind w:left="845" w:leftChars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就业与招生培养联动研究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ind w:left="845" w:leftChars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重点群体就业帮扶机制研究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ind w:left="845" w:leftChars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高校就业指导服务机构建设标准、规范、机制研究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ind w:left="845" w:leftChars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国家人才供需对接大数据平台建设路径研究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ind w:left="845" w:leftChars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人工智能发展对大学生就业的影响研究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ind w:left="845" w:leftChars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产业结构调整对大学生就业的影响研究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ind w:left="845" w:leftChars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大学生就业服务数字化、智能化研究</w:t>
      </w:r>
    </w:p>
    <w:p/>
    <w:p>
      <w:pPr>
        <w:numPr>
          <w:ilvl w:val="0"/>
          <w:numId w:val="0"/>
        </w:numPr>
        <w:spacing w:before="156" w:beforeLines="50" w:after="156" w:afterLines="50" w:line="600" w:lineRule="exact"/>
        <w:ind w:leftChars="0"/>
        <w:jc w:val="both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教育考试研究专项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ind w:left="845" w:leftChars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服务拔尖创新人才选育的教育考试改革方略研究（重点）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ind w:left="845" w:leftChars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智慧考试的理论建构和实践探索研究（重点）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ind w:left="845" w:leftChars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中国教育考试</w:t>
      </w:r>
      <w:r>
        <w:rPr>
          <w:rFonts w:hint="eastAsia" w:ascii="仿宋_GB2312" w:eastAsia="仿宋_GB2312"/>
          <w:sz w:val="32"/>
          <w:szCs w:val="32"/>
          <w:lang w:eastAsia="zh-CN"/>
        </w:rPr>
        <w:t>现代化</w:t>
      </w:r>
      <w:r>
        <w:rPr>
          <w:rFonts w:hint="eastAsia" w:ascii="仿宋_GB2312" w:eastAsia="仿宋_GB2312"/>
          <w:sz w:val="32"/>
          <w:szCs w:val="32"/>
        </w:rPr>
        <w:t>理论体系建构研究</w:t>
      </w:r>
      <w:r>
        <w:rPr>
          <w:rFonts w:hint="eastAsia" w:ascii="仿宋_GB2312" w:eastAsia="仿宋_GB2312"/>
          <w:sz w:val="32"/>
          <w:szCs w:val="32"/>
        </w:rPr>
        <w:tab/>
      </w:r>
    </w:p>
    <w:p>
      <w:pPr>
        <w:numPr>
          <w:ilvl w:val="0"/>
          <w:numId w:val="2"/>
        </w:numPr>
        <w:spacing w:before="156" w:beforeLines="50" w:after="156" w:afterLines="50" w:line="600" w:lineRule="exact"/>
        <w:ind w:left="845" w:leftChars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适应多元化人才选育的高考系统性改革策略研究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ind w:left="845" w:leftChars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高考难度理论分析模型构建与实证研究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ind w:left="845" w:leftChars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普通高等学校艺术类专业招生省级统考改革效果评估研究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ind w:left="845" w:leftChars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职教高考制度的行动方略研究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ind w:left="845" w:leftChars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教育强国建设背景下硕士研究生招生考试改革策略研究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ind w:left="845" w:leftChars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新时代高等教育自学考试助力终身学习服务体系构建的策略研究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ind w:left="845" w:leftChars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中小学教师资格考试与教师专业发展的关系研究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ind w:left="845" w:leftChars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教育考试数据标准体系研究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ind w:left="845" w:leftChars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认知智能大模型技术在教育考试评价中的应用研究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ind w:left="845" w:leftChars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数字化背景下国家教育考试机考管理体系构建与实践研究</w:t>
      </w:r>
    </w:p>
    <w:p/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929581"/>
    <w:multiLevelType w:val="singleLevel"/>
    <w:tmpl w:val="81929581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">
    <w:nsid w:val="37682F87"/>
    <w:multiLevelType w:val="singleLevel"/>
    <w:tmpl w:val="37682F87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wZDI0ODAxODY5MzM4ZjBlMzc2OGZkZTYzMzNhMjEifQ=="/>
  </w:docVars>
  <w:rsids>
    <w:rsidRoot w:val="21420D02"/>
    <w:rsid w:val="11F61489"/>
    <w:rsid w:val="17056E8A"/>
    <w:rsid w:val="1B33591C"/>
    <w:rsid w:val="1DF93765"/>
    <w:rsid w:val="21420D02"/>
    <w:rsid w:val="2483647E"/>
    <w:rsid w:val="289F1BF8"/>
    <w:rsid w:val="345E036E"/>
    <w:rsid w:val="37475889"/>
    <w:rsid w:val="3BC43C03"/>
    <w:rsid w:val="3E901825"/>
    <w:rsid w:val="435C3CCA"/>
    <w:rsid w:val="4E3A10AC"/>
    <w:rsid w:val="4E8B1908"/>
    <w:rsid w:val="54582A89"/>
    <w:rsid w:val="55DA66E7"/>
    <w:rsid w:val="6C68355C"/>
    <w:rsid w:val="7C687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